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39E1107E" w:rsidR="006170B5" w:rsidRPr="00F0786B" w:rsidRDefault="006170B5" w:rsidP="00F0786B">
      <w:pPr>
        <w:jc w:val="right"/>
        <w:rPr>
          <w:rFonts w:ascii="Poppins" w:hAnsi="Poppins" w:cs="Poppins"/>
          <w:sz w:val="16"/>
          <w:szCs w:val="16"/>
        </w:rPr>
      </w:pPr>
      <w:r w:rsidRPr="00F0786B">
        <w:rPr>
          <w:rFonts w:ascii="Poppins" w:hAnsi="Poppins" w:cs="Poppins"/>
          <w:sz w:val="18"/>
          <w:szCs w:val="18"/>
        </w:rPr>
        <w:t xml:space="preserve">Warszawa, </w:t>
      </w:r>
      <w:r w:rsidR="00B53571" w:rsidRPr="00F0786B">
        <w:rPr>
          <w:rFonts w:ascii="Poppins" w:hAnsi="Poppins" w:cs="Poppins"/>
          <w:sz w:val="18"/>
          <w:szCs w:val="18"/>
        </w:rPr>
        <w:t>1</w:t>
      </w:r>
      <w:r w:rsidR="00106E0B">
        <w:rPr>
          <w:rFonts w:ascii="Poppins" w:hAnsi="Poppins" w:cs="Poppins"/>
          <w:sz w:val="18"/>
          <w:szCs w:val="18"/>
        </w:rPr>
        <w:t>4</w:t>
      </w:r>
      <w:r w:rsidR="00BF2F46" w:rsidRPr="00F0786B">
        <w:rPr>
          <w:rFonts w:ascii="Poppins" w:hAnsi="Poppins" w:cs="Poppins"/>
          <w:sz w:val="18"/>
          <w:szCs w:val="18"/>
        </w:rPr>
        <w:t>.</w:t>
      </w:r>
      <w:r w:rsidR="006637AD" w:rsidRPr="00F0786B">
        <w:rPr>
          <w:rFonts w:ascii="Poppins" w:hAnsi="Poppins" w:cs="Poppins"/>
          <w:sz w:val="18"/>
          <w:szCs w:val="18"/>
        </w:rPr>
        <w:t>0</w:t>
      </w:r>
      <w:r w:rsidR="00863505" w:rsidRPr="00F0786B">
        <w:rPr>
          <w:rFonts w:ascii="Poppins" w:hAnsi="Poppins" w:cs="Poppins"/>
          <w:sz w:val="18"/>
          <w:szCs w:val="18"/>
        </w:rPr>
        <w:t>9</w:t>
      </w:r>
      <w:r w:rsidR="00BF2F46" w:rsidRPr="00F0786B">
        <w:rPr>
          <w:rFonts w:ascii="Poppins" w:hAnsi="Poppins" w:cs="Poppins"/>
          <w:sz w:val="18"/>
          <w:szCs w:val="18"/>
        </w:rPr>
        <w:t>.2</w:t>
      </w:r>
      <w:r w:rsidR="006637AD" w:rsidRPr="00F0786B">
        <w:rPr>
          <w:rFonts w:ascii="Poppins" w:hAnsi="Poppins" w:cs="Poppins"/>
          <w:sz w:val="18"/>
          <w:szCs w:val="18"/>
        </w:rPr>
        <w:t>0</w:t>
      </w:r>
      <w:r w:rsidR="00BF2F46" w:rsidRPr="00F0786B">
        <w:rPr>
          <w:rFonts w:ascii="Poppins" w:hAnsi="Poppins" w:cs="Poppins"/>
          <w:sz w:val="18"/>
          <w:szCs w:val="18"/>
        </w:rPr>
        <w:t>2</w:t>
      </w:r>
      <w:r w:rsidR="006637AD" w:rsidRPr="00F0786B">
        <w:rPr>
          <w:rFonts w:ascii="Poppins" w:hAnsi="Poppins" w:cs="Poppins"/>
          <w:sz w:val="18"/>
          <w:szCs w:val="18"/>
        </w:rPr>
        <w:t>3</w:t>
      </w:r>
      <w:r w:rsidR="00BF2F46" w:rsidRPr="00F0786B">
        <w:rPr>
          <w:rFonts w:ascii="Poppins" w:hAnsi="Poppins" w:cs="Poppins"/>
          <w:sz w:val="18"/>
          <w:szCs w:val="18"/>
        </w:rPr>
        <w:t xml:space="preserve"> </w:t>
      </w:r>
      <w:r w:rsidR="00BF2F46" w:rsidRPr="00F0786B">
        <w:rPr>
          <w:rFonts w:ascii="Poppins" w:hAnsi="Poppins" w:cs="Poppins"/>
          <w:sz w:val="16"/>
          <w:szCs w:val="16"/>
        </w:rPr>
        <w:t>r.</w:t>
      </w:r>
    </w:p>
    <w:p w14:paraId="71BEDF8E" w14:textId="4B69734C" w:rsidR="00293F01" w:rsidRPr="00F0786B" w:rsidRDefault="00293F01" w:rsidP="00F0786B">
      <w:pPr>
        <w:spacing w:before="120" w:after="120" w:line="240" w:lineRule="auto"/>
        <w:jc w:val="both"/>
        <w:rPr>
          <w:rFonts w:ascii="Poppins" w:hAnsi="Poppins" w:cs="Poppins"/>
          <w:sz w:val="21"/>
          <w:szCs w:val="21"/>
        </w:rPr>
      </w:pPr>
      <w:r w:rsidRPr="00F0786B">
        <w:rPr>
          <w:rFonts w:ascii="Poppins" w:hAnsi="Poppins" w:cs="Poppins"/>
          <w:sz w:val="21"/>
          <w:szCs w:val="21"/>
        </w:rPr>
        <w:t xml:space="preserve">Autor: </w:t>
      </w:r>
      <w:r w:rsidR="00BF2F46" w:rsidRPr="00F0786B">
        <w:rPr>
          <w:rFonts w:ascii="Poppins" w:hAnsi="Poppins" w:cs="Poppins"/>
          <w:sz w:val="21"/>
          <w:szCs w:val="21"/>
        </w:rPr>
        <w:t xml:space="preserve">Jarosław </w:t>
      </w:r>
      <w:proofErr w:type="spellStart"/>
      <w:r w:rsidR="00BF2F46" w:rsidRPr="00F0786B">
        <w:rPr>
          <w:rFonts w:ascii="Poppins" w:hAnsi="Poppins" w:cs="Poppins"/>
          <w:sz w:val="21"/>
          <w:szCs w:val="21"/>
        </w:rPr>
        <w:t>Jędrzyński</w:t>
      </w:r>
      <w:proofErr w:type="spellEnd"/>
      <w:r w:rsidR="00F0786B" w:rsidRPr="00F0786B">
        <w:rPr>
          <w:rFonts w:ascii="Poppins" w:hAnsi="Poppins" w:cs="Poppins"/>
          <w:sz w:val="21"/>
          <w:szCs w:val="21"/>
        </w:rPr>
        <w:t>, ekspert portalu RynekPierwotny.pl</w:t>
      </w:r>
    </w:p>
    <w:p w14:paraId="0AEFA339" w14:textId="6AAB1501" w:rsidR="00697F5E" w:rsidRPr="00F0786B" w:rsidRDefault="007C3755" w:rsidP="00F0786B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44"/>
          <w:szCs w:val="44"/>
          <w:lang w:eastAsia="pl-PL"/>
        </w:rPr>
      </w:pPr>
      <w:r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D</w:t>
      </w:r>
      <w:r w:rsidR="001B4273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ynamika</w:t>
      </w:r>
      <w:r w:rsidR="00ED6DEA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 cen materiałów budowlanych</w:t>
      </w:r>
      <w:r w:rsidR="00806F6A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 </w:t>
      </w:r>
      <w:r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już w</w:t>
      </w:r>
      <w:r w:rsidR="00863505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e wst</w:t>
      </w:r>
      <w:r w:rsidR="00412A2E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ę</w:t>
      </w:r>
      <w:r w:rsidR="00863505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pnej</w:t>
      </w:r>
      <w:r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 </w:t>
      </w:r>
      <w:r w:rsidR="00863505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fazie </w:t>
      </w:r>
      <w:r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korek</w:t>
      </w:r>
      <w:r w:rsidR="00863505" w:rsidRPr="00F0786B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ty</w:t>
      </w:r>
    </w:p>
    <w:p w14:paraId="75838D02" w14:textId="3C8B81D9" w:rsidR="00223FBE" w:rsidRPr="00F0786B" w:rsidRDefault="007F6BCA" w:rsidP="00F0786B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Średnia</w:t>
      </w:r>
      <w:r w:rsidR="00223FBE" w:rsidRPr="00F0786B">
        <w:rPr>
          <w:rFonts w:ascii="Poppins" w:hAnsi="Poppins" w:cs="Poppins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223FBE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dynamika cen materiałów budowlanych w </w:t>
      </w:r>
      <w:r w:rsidR="007C3755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sierpniu </w:t>
      </w:r>
      <w:r w:rsidR="00223FBE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zniżkowała</w:t>
      </w:r>
      <w:r w:rsidR="007C3755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w relacji rok do roku do zaledwie 1 proc., z kolei w odniesieniu do poprzedzającego lipca nastąpił już minimalny spadek cen rzędu </w:t>
      </w:r>
      <w:r w:rsidR="00960EF0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-</w:t>
      </w:r>
      <w:r w:rsidR="007C3755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0,4 proc. </w:t>
      </w:r>
      <w:r w:rsidR="00960EF0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Jak wskazują eksperci portalu RynekPierwotny.pl t</w:t>
      </w:r>
      <w:r w:rsidR="007C3755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ym samym można uznać, że na krajowym rynku materiałów budowlanych rozpoczęła się korekta. Pytanie, jak trwałym okaże się zjawiskiem w sytuacji wciąż wysokiej inflacji i </w:t>
      </w:r>
      <w:r w:rsidR="00960EF0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ostatniego, </w:t>
      </w:r>
      <w:r w:rsidR="007C3755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mocnego cięcia stóp procentowych NBP. </w:t>
      </w:r>
      <w:r w:rsidR="00223FBE"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</w:p>
    <w:p w14:paraId="02F6CE3F" w14:textId="7C751180" w:rsidR="008C722D" w:rsidRPr="00F0786B" w:rsidRDefault="008C722D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>Krajowy rynek materiałów budowlanych z końcem wakacji wyraźnie zasygnalizował początek korekty cenowej po z góra dwuletnim okresie galopującej drożyzny. Trudno to jednak uznać za dużej miary niespodziankę w sytuacji bardzo szybkiego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w ostatnich miesiącach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spadku dynamiki cen, z 20 proc. w końcówce ubiegłego roku do niemal zera obecnie.  </w:t>
      </w:r>
    </w:p>
    <w:p w14:paraId="6EE81886" w14:textId="58E3CE04" w:rsidR="00806F6A" w:rsidRPr="00F0786B" w:rsidRDefault="00F0786B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hAnsi="Poppins" w:cs="Poppins"/>
          <w:noProof/>
          <w:sz w:val="21"/>
          <w:szCs w:val="21"/>
        </w:rPr>
        <w:drawing>
          <wp:inline distT="0" distB="0" distL="0" distR="0" wp14:anchorId="45CEB2F9" wp14:editId="1C17D219">
            <wp:extent cx="6638925" cy="4362450"/>
            <wp:effectExtent l="0" t="0" r="9525" b="0"/>
            <wp:docPr id="14227062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0D1B" w14:textId="77777777" w:rsidR="00697F5E" w:rsidRPr="00F0786B" w:rsidRDefault="00697F5E" w:rsidP="00F0786B">
      <w:pPr>
        <w:spacing w:before="120" w:after="120" w:line="240" w:lineRule="auto"/>
        <w:contextualSpacing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                                                 </w:t>
      </w:r>
    </w:p>
    <w:p w14:paraId="707C0338" w14:textId="3996488D" w:rsidR="0043352D" w:rsidRPr="00F0786B" w:rsidRDefault="00BC4CD7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W najnowszym </w:t>
      </w:r>
      <w:r w:rsidR="0043352D" w:rsidRPr="00F0786B">
        <w:rPr>
          <w:rFonts w:ascii="Poppins" w:eastAsia="Times New Roman" w:hAnsi="Poppins" w:cs="Poppins"/>
          <w:sz w:val="21"/>
          <w:szCs w:val="21"/>
          <w:lang w:eastAsia="pl-PL"/>
        </w:rPr>
        <w:t>odczy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>cie</w:t>
      </w:r>
      <w:r w:rsidR="0043352D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dynamiki </w:t>
      </w:r>
      <w:hyperlink r:id="rId8" w:history="1">
        <w:r w:rsidR="0043352D" w:rsidRPr="00A06E53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cen materiałów budowlanych</w:t>
        </w:r>
      </w:hyperlink>
      <w:r w:rsidR="0043352D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autorstwa Grupy PSB</w:t>
      </w:r>
      <w:r w:rsidR="007F6BCA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Handel</w:t>
      </w:r>
      <w:r w:rsidR="0043352D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w dalszym ciągu </w:t>
      </w:r>
      <w:r w:rsidR="008C722D" w:rsidRPr="00F0786B">
        <w:rPr>
          <w:rFonts w:ascii="Poppins" w:eastAsia="Times New Roman" w:hAnsi="Poppins" w:cs="Poppins"/>
          <w:sz w:val="21"/>
          <w:szCs w:val="21"/>
          <w:lang w:eastAsia="pl-PL"/>
        </w:rPr>
        <w:t>na szczycie tabeli samotnie przoduje</w:t>
      </w:r>
      <w:r w:rsidR="0043352D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cement-wapno jako pozycj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43352D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najmocniej zwyżkując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a rok do roku o </w:t>
      </w:r>
      <w:r w:rsidR="00697DF3" w:rsidRPr="00F0786B">
        <w:rPr>
          <w:rFonts w:ascii="Poppins" w:eastAsia="Times New Roman" w:hAnsi="Poppins" w:cs="Poppins"/>
          <w:sz w:val="21"/>
          <w:szCs w:val="21"/>
          <w:lang w:eastAsia="pl-PL"/>
        </w:rPr>
        <w:t>2</w:t>
      </w:r>
      <w:r w:rsidR="008C722D" w:rsidRPr="00F0786B">
        <w:rPr>
          <w:rFonts w:ascii="Poppins" w:eastAsia="Times New Roman" w:hAnsi="Poppins" w:cs="Poppins"/>
          <w:sz w:val="21"/>
          <w:szCs w:val="21"/>
          <w:lang w:eastAsia="pl-PL"/>
        </w:rPr>
        <w:t>1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  <w:r w:rsidR="00697DF3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FA757E" w:rsidRPr="00F0786B">
        <w:rPr>
          <w:rFonts w:ascii="Poppins" w:eastAsia="Times New Roman" w:hAnsi="Poppins" w:cs="Poppins"/>
          <w:sz w:val="21"/>
          <w:szCs w:val="21"/>
          <w:lang w:eastAsia="pl-PL"/>
        </w:rPr>
        <w:t>Kolejne</w:t>
      </w:r>
      <w:r w:rsidR="00697DF3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dodatnie wskaźniki mają już wartości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jednocyfrowe,</w:t>
      </w:r>
      <w:r w:rsidR="00483013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znacznie </w:t>
      </w:r>
      <w:r w:rsidR="00483013" w:rsidRPr="00F0786B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 xml:space="preserve">poniżej lidera klasyfikacji. 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Co więcej, 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 xml:space="preserve">jak zauważają eksperci portalu RynekPierwotny.pl, 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z miesiąca na miesiąc przybywa pozycji o ujemnej dynamice cen, czyli rok do roku taniejących. W sierpniu na 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dwadzieścia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monitorowanych przez 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 xml:space="preserve">Grupę 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PSB grup towarowych już 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siedem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notowanych było z minusem. Wśród nich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tak jak przed miesiącem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5A775E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wyróżniają się płyty OSB z drewnem oraz izolacje termiczne, z cenowym regresem rzędu odpowiednio 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5A775E" w:rsidRPr="00F0786B">
        <w:rPr>
          <w:rFonts w:ascii="Poppins" w:eastAsia="Times New Roman" w:hAnsi="Poppins" w:cs="Poppins"/>
          <w:sz w:val="21"/>
          <w:szCs w:val="21"/>
          <w:lang w:eastAsia="pl-PL"/>
        </w:rPr>
        <w:t>2</w:t>
      </w:r>
      <w:r w:rsidR="00AF17C9" w:rsidRPr="00F0786B">
        <w:rPr>
          <w:rFonts w:ascii="Poppins" w:eastAsia="Times New Roman" w:hAnsi="Poppins" w:cs="Poppins"/>
          <w:sz w:val="21"/>
          <w:szCs w:val="21"/>
          <w:lang w:eastAsia="pl-PL"/>
        </w:rPr>
        <w:t>4</w:t>
      </w:r>
      <w:r w:rsidR="005A775E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i 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5A775E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17 proc. </w:t>
      </w:r>
    </w:p>
    <w:p w14:paraId="6B381BC6" w14:textId="0F5AC68F" w:rsidR="00E6343F" w:rsidRPr="00F0786B" w:rsidRDefault="00960EF0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70D47EE5" wp14:editId="6085FD7E">
            <wp:extent cx="6648450" cy="4962525"/>
            <wp:effectExtent l="0" t="0" r="0" b="9525"/>
            <wp:docPr id="1429699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32BE" w14:textId="6BE7B329" w:rsidR="002D199A" w:rsidRPr="00F0786B" w:rsidRDefault="0023341B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>Tym samym z</w:t>
      </w:r>
      <w:r w:rsidR="002D199A" w:rsidRPr="00F0786B">
        <w:rPr>
          <w:rFonts w:ascii="Poppins" w:eastAsia="Times New Roman" w:hAnsi="Poppins" w:cs="Poppins"/>
          <w:sz w:val="21"/>
          <w:szCs w:val="21"/>
          <w:lang w:eastAsia="pl-PL"/>
        </w:rPr>
        <w:t>asadnicza przyczyna sytuacji na krajowym rynku materiałów budowlanych, jakim jest dotkliwy spadek popytu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w stosunku do lat ubiegłych</w:t>
      </w:r>
      <w:r w:rsidR="002D199A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, niestety nie wykazuje tendencji do większej metamorfozy. Wciąż dość wyraźnie kuleją statystyki budownictwa mieszkaniowego, zwłaszcza w segmencie budownictwa jednorodzinnego. Z kolei deweloperzy nie decydują się na bardziej zdecydowane zwiększenie produkcji mieszkań, nie postrzegając programu kredytów preferencyjnych jako wiarygodnego i trwałego czynnika stymulującego popyt na nowe lokale. </w:t>
      </w:r>
    </w:p>
    <w:p w14:paraId="4C42FA38" w14:textId="0E6A0181" w:rsidR="00FA46EB" w:rsidRPr="00F0786B" w:rsidRDefault="002D199A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Niewiele też wskazuje na to, by </w:t>
      </w:r>
      <w:r w:rsidR="0023341B" w:rsidRPr="00F0786B">
        <w:rPr>
          <w:rFonts w:ascii="Poppins" w:eastAsia="Times New Roman" w:hAnsi="Poppins" w:cs="Poppins"/>
          <w:sz w:val="21"/>
          <w:szCs w:val="21"/>
          <w:lang w:eastAsia="pl-PL"/>
        </w:rPr>
        <w:t>podjęta ostatnio przez RPP decyzja o zdecydowanym ci</w:t>
      </w:r>
      <w:r w:rsidR="00960EF0">
        <w:rPr>
          <w:rFonts w:ascii="Poppins" w:eastAsia="Times New Roman" w:hAnsi="Poppins" w:cs="Poppins"/>
          <w:sz w:val="21"/>
          <w:szCs w:val="21"/>
          <w:lang w:eastAsia="pl-PL"/>
        </w:rPr>
        <w:t>ę</w:t>
      </w:r>
      <w:r w:rsidR="0023341B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ciu stóp procentowych o 75 </w:t>
      </w:r>
      <w:proofErr w:type="spellStart"/>
      <w:r w:rsidR="0023341B" w:rsidRPr="00F0786B">
        <w:rPr>
          <w:rFonts w:ascii="Poppins" w:eastAsia="Times New Roman" w:hAnsi="Poppins" w:cs="Poppins"/>
          <w:sz w:val="21"/>
          <w:szCs w:val="21"/>
          <w:lang w:eastAsia="pl-PL"/>
        </w:rPr>
        <w:t>pb</w:t>
      </w:r>
      <w:proofErr w:type="spellEnd"/>
      <w:r w:rsidR="0023341B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. mogła w bardziej spektakularny sposób wpłynąć na obecną sytuację rynkową w budowlance i deweloperce. </w:t>
      </w:r>
      <w:r w:rsidR="0023341B" w:rsidRPr="00960EF0">
        <w:rPr>
          <w:rFonts w:ascii="Poppins" w:eastAsia="Times New Roman" w:hAnsi="Poppins" w:cs="Poppins"/>
          <w:i/>
          <w:iCs/>
          <w:sz w:val="21"/>
          <w:szCs w:val="21"/>
          <w:lang w:eastAsia="pl-PL"/>
        </w:rPr>
        <w:t>De facto</w:t>
      </w:r>
      <w:r w:rsidR="0023341B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branża budowlana pozostaje w środowisku koniunkturalnego spowolnienia, a pierwotny rynek mieszkaniowy </w:t>
      </w:r>
      <w:r w:rsidR="001826EF" w:rsidRPr="00F0786B">
        <w:rPr>
          <w:rFonts w:ascii="Poppins" w:eastAsia="Times New Roman" w:hAnsi="Poppins" w:cs="Poppins"/>
          <w:sz w:val="21"/>
          <w:szCs w:val="21"/>
          <w:lang w:eastAsia="pl-PL"/>
        </w:rPr>
        <w:t>przeżywa okresowy</w:t>
      </w:r>
      <w:r w:rsidR="00FA46EB" w:rsidRPr="00F0786B">
        <w:rPr>
          <w:rFonts w:ascii="Poppins" w:eastAsia="Times New Roman" w:hAnsi="Poppins" w:cs="Poppins"/>
          <w:sz w:val="21"/>
          <w:szCs w:val="21"/>
          <w:lang w:eastAsia="pl-PL"/>
        </w:rPr>
        <w:t>, nieco sztuczny</w:t>
      </w:r>
      <w:r w:rsidR="001826EF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boom wykreowany przez rządowy program dopłat do hipotek. </w:t>
      </w:r>
    </w:p>
    <w:p w14:paraId="73701159" w14:textId="141818D4" w:rsidR="00CD7441" w:rsidRPr="00F0786B" w:rsidRDefault="001826EF" w:rsidP="00F0786B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W tej sytuacji na pewne korzyści mogą liczyć jedynie eksporterzy materiałów budowlanych, dzięki rekordowemu od dawna osłabieniu złotego. Jednak z historii notowań </w:t>
      </w:r>
      <w:r w:rsidR="003010C6" w:rsidRPr="00F0786B">
        <w:rPr>
          <w:rFonts w:ascii="Poppins" w:eastAsia="Times New Roman" w:hAnsi="Poppins" w:cs="Poppins"/>
          <w:sz w:val="21"/>
          <w:szCs w:val="21"/>
          <w:lang w:eastAsia="pl-PL"/>
        </w:rPr>
        <w:t>rodzimej waluty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nie wynika, by 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tego typu</w:t>
      </w:r>
      <w:r w:rsidR="003010C6"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tendencja miała większe szanse na wykreowanie trwalszego trendu.</w:t>
      </w:r>
      <w:r w:rsidRPr="00F0786B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FA46EB" w:rsidRPr="00F0786B">
        <w:rPr>
          <w:rFonts w:ascii="Poppins" w:eastAsia="Times New Roman" w:hAnsi="Poppins" w:cs="Poppins"/>
          <w:sz w:val="21"/>
          <w:szCs w:val="21"/>
          <w:lang w:eastAsia="pl-PL"/>
        </w:rPr>
        <w:t>Tym samym raczej należy nastawić się na nieco dłuższą, co najmniej kilkumiesięczną korektę cenową na omawianym rynku, który może w dłuższej perspektywie okazać się najlepszym okresem dla inwestorów planujących inwestycje budowlane i zakupy materiałów budowlanych.</w:t>
      </w:r>
    </w:p>
    <w:sectPr w:rsidR="00CD7441" w:rsidRPr="00F0786B" w:rsidSect="00697F5E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9CC1" w14:textId="77777777" w:rsidR="006155A3" w:rsidRDefault="006155A3" w:rsidP="00E533BD">
      <w:pPr>
        <w:spacing w:after="0" w:line="240" w:lineRule="auto"/>
      </w:pPr>
      <w:r>
        <w:separator/>
      </w:r>
    </w:p>
  </w:endnote>
  <w:endnote w:type="continuationSeparator" w:id="0">
    <w:p w14:paraId="627F3D7B" w14:textId="77777777" w:rsidR="006155A3" w:rsidRDefault="006155A3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4168" w14:textId="77777777" w:rsidR="006155A3" w:rsidRDefault="006155A3" w:rsidP="00E533BD">
      <w:pPr>
        <w:spacing w:after="0" w:line="240" w:lineRule="auto"/>
      </w:pPr>
      <w:r>
        <w:separator/>
      </w:r>
    </w:p>
  </w:footnote>
  <w:footnote w:type="continuationSeparator" w:id="0">
    <w:p w14:paraId="0FD24E0E" w14:textId="77777777" w:rsidR="006155A3" w:rsidRDefault="006155A3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254C5"/>
    <w:rsid w:val="00034C97"/>
    <w:rsid w:val="00035801"/>
    <w:rsid w:val="0004367A"/>
    <w:rsid w:val="00054865"/>
    <w:rsid w:val="00064175"/>
    <w:rsid w:val="00065DA5"/>
    <w:rsid w:val="00073CF3"/>
    <w:rsid w:val="000926D2"/>
    <w:rsid w:val="000B62CD"/>
    <w:rsid w:val="000B7337"/>
    <w:rsid w:val="000D0B8A"/>
    <w:rsid w:val="000D28E2"/>
    <w:rsid w:val="000F0B92"/>
    <w:rsid w:val="00106C6C"/>
    <w:rsid w:val="00106E0B"/>
    <w:rsid w:val="00107819"/>
    <w:rsid w:val="001212C3"/>
    <w:rsid w:val="00160B41"/>
    <w:rsid w:val="00176DE5"/>
    <w:rsid w:val="00180083"/>
    <w:rsid w:val="001826EF"/>
    <w:rsid w:val="00182A25"/>
    <w:rsid w:val="0018306C"/>
    <w:rsid w:val="00193531"/>
    <w:rsid w:val="001A22D2"/>
    <w:rsid w:val="001A3C71"/>
    <w:rsid w:val="001B16B5"/>
    <w:rsid w:val="001B4273"/>
    <w:rsid w:val="001B787B"/>
    <w:rsid w:val="001C12F6"/>
    <w:rsid w:val="001E7914"/>
    <w:rsid w:val="001F2B70"/>
    <w:rsid w:val="00223FBE"/>
    <w:rsid w:val="0023341B"/>
    <w:rsid w:val="00260A88"/>
    <w:rsid w:val="002636ED"/>
    <w:rsid w:val="002746E9"/>
    <w:rsid w:val="00293F01"/>
    <w:rsid w:val="002A2D5B"/>
    <w:rsid w:val="002B3C10"/>
    <w:rsid w:val="002B6E76"/>
    <w:rsid w:val="002C3A0A"/>
    <w:rsid w:val="002D0254"/>
    <w:rsid w:val="002D199A"/>
    <w:rsid w:val="002E6753"/>
    <w:rsid w:val="003010C6"/>
    <w:rsid w:val="003273E4"/>
    <w:rsid w:val="0034597C"/>
    <w:rsid w:val="00397DB2"/>
    <w:rsid w:val="003A2123"/>
    <w:rsid w:val="003A4611"/>
    <w:rsid w:val="003A6B16"/>
    <w:rsid w:val="003B4018"/>
    <w:rsid w:val="003C074C"/>
    <w:rsid w:val="003F27C1"/>
    <w:rsid w:val="003F68DF"/>
    <w:rsid w:val="00400EE4"/>
    <w:rsid w:val="004035DD"/>
    <w:rsid w:val="00412A2E"/>
    <w:rsid w:val="0043352D"/>
    <w:rsid w:val="00447594"/>
    <w:rsid w:val="00483013"/>
    <w:rsid w:val="004A26F7"/>
    <w:rsid w:val="004C3923"/>
    <w:rsid w:val="004E0A56"/>
    <w:rsid w:val="004E387D"/>
    <w:rsid w:val="00507867"/>
    <w:rsid w:val="0056572D"/>
    <w:rsid w:val="00565B3F"/>
    <w:rsid w:val="00570F57"/>
    <w:rsid w:val="00575491"/>
    <w:rsid w:val="005756AC"/>
    <w:rsid w:val="00581DC2"/>
    <w:rsid w:val="00582E44"/>
    <w:rsid w:val="0059626C"/>
    <w:rsid w:val="005A775E"/>
    <w:rsid w:val="005C5B38"/>
    <w:rsid w:val="005E154B"/>
    <w:rsid w:val="006155A3"/>
    <w:rsid w:val="006170B5"/>
    <w:rsid w:val="00642218"/>
    <w:rsid w:val="00642BDC"/>
    <w:rsid w:val="0066099C"/>
    <w:rsid w:val="0066231E"/>
    <w:rsid w:val="006637AD"/>
    <w:rsid w:val="00664F2D"/>
    <w:rsid w:val="00693D0A"/>
    <w:rsid w:val="00697DF3"/>
    <w:rsid w:val="00697F5E"/>
    <w:rsid w:val="006D5506"/>
    <w:rsid w:val="006D76FB"/>
    <w:rsid w:val="006E189E"/>
    <w:rsid w:val="006F1831"/>
    <w:rsid w:val="00703DF1"/>
    <w:rsid w:val="00716B92"/>
    <w:rsid w:val="00726925"/>
    <w:rsid w:val="00734D2E"/>
    <w:rsid w:val="007359D6"/>
    <w:rsid w:val="007430AD"/>
    <w:rsid w:val="00764495"/>
    <w:rsid w:val="00776C44"/>
    <w:rsid w:val="007819F8"/>
    <w:rsid w:val="0079392D"/>
    <w:rsid w:val="007B5076"/>
    <w:rsid w:val="007C3755"/>
    <w:rsid w:val="007D078D"/>
    <w:rsid w:val="007D6C4B"/>
    <w:rsid w:val="007F6BCA"/>
    <w:rsid w:val="00806F6A"/>
    <w:rsid w:val="00825AD9"/>
    <w:rsid w:val="008358CD"/>
    <w:rsid w:val="008374B1"/>
    <w:rsid w:val="00854F15"/>
    <w:rsid w:val="00862CF6"/>
    <w:rsid w:val="00863505"/>
    <w:rsid w:val="00863FFD"/>
    <w:rsid w:val="00884A9A"/>
    <w:rsid w:val="00895121"/>
    <w:rsid w:val="008A0C71"/>
    <w:rsid w:val="008A179F"/>
    <w:rsid w:val="008C55BD"/>
    <w:rsid w:val="008C722D"/>
    <w:rsid w:val="008F7B1C"/>
    <w:rsid w:val="0091278B"/>
    <w:rsid w:val="00944148"/>
    <w:rsid w:val="0094632E"/>
    <w:rsid w:val="00960EF0"/>
    <w:rsid w:val="00964F60"/>
    <w:rsid w:val="00991681"/>
    <w:rsid w:val="009A0F60"/>
    <w:rsid w:val="009A324B"/>
    <w:rsid w:val="009B08CC"/>
    <w:rsid w:val="009C38AC"/>
    <w:rsid w:val="009E2F93"/>
    <w:rsid w:val="00A06E53"/>
    <w:rsid w:val="00A366EE"/>
    <w:rsid w:val="00A708C0"/>
    <w:rsid w:val="00A70BF4"/>
    <w:rsid w:val="00A87236"/>
    <w:rsid w:val="00A90FB0"/>
    <w:rsid w:val="00A92EC0"/>
    <w:rsid w:val="00A971EE"/>
    <w:rsid w:val="00AB273A"/>
    <w:rsid w:val="00AB41B4"/>
    <w:rsid w:val="00AD55A3"/>
    <w:rsid w:val="00AE0AEC"/>
    <w:rsid w:val="00AF17C9"/>
    <w:rsid w:val="00B12448"/>
    <w:rsid w:val="00B17444"/>
    <w:rsid w:val="00B23FBA"/>
    <w:rsid w:val="00B26CF0"/>
    <w:rsid w:val="00B33F85"/>
    <w:rsid w:val="00B402C6"/>
    <w:rsid w:val="00B50836"/>
    <w:rsid w:val="00B53571"/>
    <w:rsid w:val="00B55ADB"/>
    <w:rsid w:val="00B90088"/>
    <w:rsid w:val="00BA4434"/>
    <w:rsid w:val="00BB29FF"/>
    <w:rsid w:val="00BC4CD7"/>
    <w:rsid w:val="00BD1F6A"/>
    <w:rsid w:val="00BE24E8"/>
    <w:rsid w:val="00BF2F46"/>
    <w:rsid w:val="00BF38F4"/>
    <w:rsid w:val="00C0583C"/>
    <w:rsid w:val="00C12248"/>
    <w:rsid w:val="00C322FE"/>
    <w:rsid w:val="00C35B7E"/>
    <w:rsid w:val="00C40B2C"/>
    <w:rsid w:val="00C4530E"/>
    <w:rsid w:val="00C63FDD"/>
    <w:rsid w:val="00CC0120"/>
    <w:rsid w:val="00CD69DB"/>
    <w:rsid w:val="00CD7441"/>
    <w:rsid w:val="00CF036B"/>
    <w:rsid w:val="00D16C7D"/>
    <w:rsid w:val="00D226CB"/>
    <w:rsid w:val="00D320B2"/>
    <w:rsid w:val="00D4634E"/>
    <w:rsid w:val="00D606A5"/>
    <w:rsid w:val="00D61549"/>
    <w:rsid w:val="00D77934"/>
    <w:rsid w:val="00DA4309"/>
    <w:rsid w:val="00DA7D8F"/>
    <w:rsid w:val="00DB06EF"/>
    <w:rsid w:val="00DB1B89"/>
    <w:rsid w:val="00DB3B0B"/>
    <w:rsid w:val="00DC1870"/>
    <w:rsid w:val="00DD0798"/>
    <w:rsid w:val="00DD6A44"/>
    <w:rsid w:val="00E25AAC"/>
    <w:rsid w:val="00E32F03"/>
    <w:rsid w:val="00E44DB9"/>
    <w:rsid w:val="00E533BD"/>
    <w:rsid w:val="00E535F7"/>
    <w:rsid w:val="00E6343F"/>
    <w:rsid w:val="00E957F0"/>
    <w:rsid w:val="00EA1149"/>
    <w:rsid w:val="00EA269B"/>
    <w:rsid w:val="00EA522F"/>
    <w:rsid w:val="00EA7CFC"/>
    <w:rsid w:val="00EB6336"/>
    <w:rsid w:val="00ED61B2"/>
    <w:rsid w:val="00ED6DEA"/>
    <w:rsid w:val="00EE42EC"/>
    <w:rsid w:val="00F0786B"/>
    <w:rsid w:val="00F11A8D"/>
    <w:rsid w:val="00F2311C"/>
    <w:rsid w:val="00F677E7"/>
    <w:rsid w:val="00F745FF"/>
    <w:rsid w:val="00F76DCA"/>
    <w:rsid w:val="00F81375"/>
    <w:rsid w:val="00F8692D"/>
    <w:rsid w:val="00FA42CC"/>
    <w:rsid w:val="00FA46EB"/>
    <w:rsid w:val="00FA757E"/>
    <w:rsid w:val="00FB2B63"/>
    <w:rsid w:val="00FB7A20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Hipercze">
    <w:name w:val="Hyperlink"/>
    <w:basedOn w:val="Domylnaczcionkaakapitu"/>
    <w:uiPriority w:val="99"/>
    <w:unhideWhenUsed/>
    <w:rsid w:val="00A06E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wiadomosci-mieszkaniowe/ceny-materialow-budowlanych/1174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8</cp:revision>
  <cp:lastPrinted>2022-08-09T11:51:00Z</cp:lastPrinted>
  <dcterms:created xsi:type="dcterms:W3CDTF">2023-09-13T12:00:00Z</dcterms:created>
  <dcterms:modified xsi:type="dcterms:W3CDTF">2023-09-14T07:33:00Z</dcterms:modified>
</cp:coreProperties>
</file>